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920" w:rsidRDefault="00B03C2F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  <w:r w:rsidRPr="00B03C2F">
        <w:rPr>
          <w:rFonts w:cstheme="minorBidi"/>
          <w:noProof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7pt;margin-top:-1.55pt;width:424.25pt;height:124.35pt;z-index:251663360">
            <v:textbox style="mso-next-textbox:#_x0000_s1026">
              <w:txbxContent>
                <w:p w:rsidR="002E5920" w:rsidRPr="00DC23C2" w:rsidRDefault="00C052BD" w:rsidP="002E59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R10"/>
                      <w:sz w:val="24"/>
                      <w:szCs w:val="28"/>
                    </w:rPr>
                  </w:pPr>
                  <w:r w:rsidRPr="00DC23C2">
                    <w:rPr>
                      <w:rFonts w:cs="CMR10"/>
                      <w:sz w:val="24"/>
                      <w:szCs w:val="28"/>
                    </w:rPr>
                    <w:t>NOTA:</w:t>
                  </w:r>
                </w:p>
                <w:p w:rsidR="002E5920" w:rsidRPr="00DC23C2" w:rsidRDefault="00C052BD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La 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sexta</w:t>
                  </w: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ayudantía </w:t>
                  </w:r>
                  <w:r w:rsidR="00B841A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analiza y trabaja aspectos de </w:t>
                  </w:r>
                  <w:r w:rsidR="002F264E">
                    <w:rPr>
                      <w:rFonts w:cs="Segoe UI"/>
                      <w:color w:val="000000"/>
                      <w:sz w:val="18"/>
                      <w:szCs w:val="20"/>
                    </w:rPr>
                    <w:t>teoría del consumidor, curvas de indiferencia, efecto sustitución y efecto ingreso</w:t>
                  </w:r>
                  <w:r w:rsidR="00B841A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, </w:t>
                  </w:r>
                  <w:r w:rsidR="002F264E">
                    <w:rPr>
                      <w:rFonts w:cs="Segoe UI"/>
                      <w:color w:val="000000"/>
                      <w:sz w:val="18"/>
                      <w:szCs w:val="20"/>
                    </w:rPr>
                    <w:t>curva de demanda y demanda compensada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. (Ci</w:t>
                  </w: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: Comente “i”, 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Ei: Ejercicio “i”</w:t>
                  </w: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>)</w:t>
                  </w:r>
                </w:p>
                <w:p w:rsidR="002E5920" w:rsidRPr="00DC23C2" w:rsidRDefault="00C052BD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>C1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:</w:t>
                  </w: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Problema de la Teoría del Consumidor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2E5920" w:rsidRDefault="00C052BD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>C2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, C3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:</w:t>
                  </w:r>
                  <w:r w:rsidRPr="00124B98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Curvas de Indiferencia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2E5920" w:rsidRDefault="00C052BD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C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4, C5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: 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Restricción Presupuestaria y Curvas de Indiferencia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2E5920" w:rsidRDefault="00726B2B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C6</w:t>
                  </w:r>
                  <w:r w:rsidR="00C052BD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: 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Maximización de Utilidad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726B2B" w:rsidRDefault="00726B2B" w:rsidP="00726B2B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C7</w:t>
                  </w:r>
                  <w:r w:rsidR="00C052BD">
                    <w:rPr>
                      <w:rFonts w:cs="Segoe UI"/>
                      <w:color w:val="000000"/>
                      <w:sz w:val="18"/>
                      <w:szCs w:val="20"/>
                    </w:rPr>
                    <w:t>:</w:t>
                  </w:r>
                  <w:r w:rsidR="00C052BD"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Efecto sustitución y efecto ingreso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2E5920" w:rsidRPr="00DC23C2" w:rsidRDefault="00C052BD" w:rsidP="002E5920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E</w:t>
                  </w:r>
                  <w:r w:rsidR="00B841A2">
                    <w:rPr>
                      <w:rFonts w:cs="Segoe UI"/>
                      <w:color w:val="000000"/>
                      <w:sz w:val="18"/>
                      <w:szCs w:val="20"/>
                    </w:rPr>
                    <w:t>1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: </w:t>
                  </w:r>
                  <w:r w:rsidR="00726B2B">
                    <w:rPr>
                      <w:rFonts w:cs="Segoe UI"/>
                      <w:color w:val="000000"/>
                      <w:sz w:val="18"/>
                      <w:szCs w:val="20"/>
                    </w:rPr>
                    <w:t>Maximización de utilidad y demanda compensada</w:t>
                  </w:r>
                  <w:r w:rsidR="006A7688">
                    <w:rPr>
                      <w:rFonts w:cs="Segoe UI"/>
                      <w:color w:val="000000"/>
                      <w:sz w:val="18"/>
                      <w:szCs w:val="20"/>
                    </w:rPr>
                    <w:t>.</w:t>
                  </w:r>
                </w:p>
                <w:p w:rsidR="002E5920" w:rsidRDefault="002E5920" w:rsidP="002E592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R10"/>
                      <w:sz w:val="28"/>
                      <w:szCs w:val="28"/>
                    </w:rPr>
                  </w:pPr>
                </w:p>
                <w:p w:rsidR="002E5920" w:rsidRDefault="002E5920" w:rsidP="002E5920">
                  <w:pPr>
                    <w:jc w:val="both"/>
                  </w:pPr>
                </w:p>
              </w:txbxContent>
            </v:textbox>
          </v:shape>
        </w:pict>
      </w:r>
    </w:p>
    <w:p w:rsidR="002E5920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2E5920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2E5920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2E5920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2E5920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2E5920" w:rsidRPr="007B0099" w:rsidRDefault="00C052BD" w:rsidP="002E5920">
      <w:pPr>
        <w:autoSpaceDE w:val="0"/>
        <w:autoSpaceDN w:val="0"/>
        <w:adjustRightInd w:val="0"/>
        <w:spacing w:before="240" w:after="0" w:line="240" w:lineRule="auto"/>
        <w:jc w:val="both"/>
        <w:rPr>
          <w:rFonts w:cs="CMBX12"/>
          <w:b/>
          <w:sz w:val="30"/>
          <w:szCs w:val="30"/>
        </w:rPr>
      </w:pPr>
      <w:r w:rsidRPr="007B0099">
        <w:rPr>
          <w:rFonts w:cs="CMBX12"/>
          <w:b/>
          <w:sz w:val="30"/>
          <w:szCs w:val="30"/>
        </w:rPr>
        <w:t>Comentes</w:t>
      </w:r>
    </w:p>
    <w:p w:rsidR="002E5920" w:rsidRPr="00564FDE" w:rsidRDefault="00C052BD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b/>
          <w:sz w:val="20"/>
          <w:szCs w:val="20"/>
        </w:rPr>
      </w:pPr>
      <w:r w:rsidRPr="007B0099">
        <w:rPr>
          <w:rFonts w:cs="CMR10"/>
          <w:b/>
          <w:sz w:val="20"/>
          <w:szCs w:val="20"/>
        </w:rPr>
        <w:t>Nota: En esta sección se escribe una afirmación, la cual es verdadera, falsa o incierta. El estudiante tiene el deber de dar su postura indicando claramente los conceptos económicos que llevan a entenderla como verdadera, falsa o incierta. Todos los comentes, salvo excepciones tienen que tener un apoyo gráfico.</w:t>
      </w:r>
    </w:p>
    <w:p w:rsidR="002E5920" w:rsidRPr="00564FDE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sz w:val="18"/>
          <w:szCs w:val="20"/>
        </w:rPr>
      </w:pPr>
    </w:p>
    <w:p w:rsidR="005C70B4" w:rsidRDefault="005C70B4" w:rsidP="005C70B4">
      <w:pPr>
        <w:numPr>
          <w:ilvl w:val="0"/>
          <w:numId w:val="1"/>
        </w:numPr>
        <w:spacing w:after="0" w:line="240" w:lineRule="auto"/>
        <w:jc w:val="both"/>
      </w:pPr>
      <w:r w:rsidRPr="00600B2F">
        <w:t>¿Cuál es el problema central de la teoría económica del consumidor? Explique.</w:t>
      </w:r>
    </w:p>
    <w:p w:rsidR="005C70B4" w:rsidRDefault="005C70B4" w:rsidP="005C70B4">
      <w:pPr>
        <w:spacing w:after="0" w:line="240" w:lineRule="auto"/>
        <w:jc w:val="both"/>
      </w:pPr>
    </w:p>
    <w:p w:rsidR="005C70B4" w:rsidRPr="00600B2F" w:rsidRDefault="005C70B4" w:rsidP="005C70B4">
      <w:pPr>
        <w:numPr>
          <w:ilvl w:val="0"/>
          <w:numId w:val="1"/>
        </w:numPr>
        <w:spacing w:after="0" w:line="240" w:lineRule="auto"/>
        <w:jc w:val="both"/>
      </w:pPr>
      <w:r w:rsidRPr="00600B2F">
        <w:t>Si más de un bien es preferido a menos, entonces las curvas de indiferencia son convexas.</w:t>
      </w:r>
    </w:p>
    <w:p w:rsidR="005C70B4" w:rsidRPr="00FB0154" w:rsidRDefault="005C70B4" w:rsidP="00FB0154">
      <w:pPr>
        <w:spacing w:after="0" w:line="240" w:lineRule="auto"/>
        <w:jc w:val="both"/>
      </w:pPr>
    </w:p>
    <w:p w:rsidR="005C70B4" w:rsidRDefault="005C70B4" w:rsidP="005C70B4">
      <w:pPr>
        <w:numPr>
          <w:ilvl w:val="0"/>
          <w:numId w:val="1"/>
        </w:numPr>
        <w:spacing w:after="0" w:line="240" w:lineRule="auto"/>
        <w:jc w:val="both"/>
      </w:pPr>
      <w:r w:rsidRPr="006C32FB">
        <w:t>Demuestre que, dados los supuestos, es imposible que se corten las curvas de</w:t>
      </w:r>
      <w:r>
        <w:t xml:space="preserve"> </w:t>
      </w:r>
      <w:r w:rsidRPr="006C32FB">
        <w:t>indiferencia de un individuo.</w:t>
      </w:r>
    </w:p>
    <w:p w:rsidR="005C70B4" w:rsidRDefault="005C70B4" w:rsidP="005C70B4">
      <w:pPr>
        <w:spacing w:after="0" w:line="240" w:lineRule="auto"/>
        <w:jc w:val="both"/>
      </w:pPr>
    </w:p>
    <w:p w:rsidR="003A6679" w:rsidRPr="003A6679" w:rsidRDefault="003A6679" w:rsidP="003A6679">
      <w:pPr>
        <w:numPr>
          <w:ilvl w:val="0"/>
          <w:numId w:val="1"/>
        </w:numPr>
        <w:spacing w:after="0" w:line="240" w:lineRule="auto"/>
        <w:jc w:val="both"/>
      </w:pPr>
      <w:r w:rsidRPr="003A6679">
        <w:t>Si aumenta la renta del consumidor y, al mismo tiempo, baja uno de los precios</w:t>
      </w:r>
      <w:r>
        <w:t xml:space="preserve"> </w:t>
      </w:r>
      <w:r w:rsidRPr="003A6679">
        <w:t>de los bienes que consume, ¿disfrutará necesariamente el consumidor al menos</w:t>
      </w:r>
      <w:r>
        <w:t xml:space="preserve"> </w:t>
      </w:r>
      <w:r w:rsidRPr="003A6679">
        <w:t>del mismo bienestar que antes? Comente.</w:t>
      </w:r>
    </w:p>
    <w:p w:rsidR="002E5920" w:rsidRPr="007B0099" w:rsidRDefault="002E5920" w:rsidP="00FB0154">
      <w:pPr>
        <w:spacing w:after="0" w:line="240" w:lineRule="auto"/>
        <w:jc w:val="both"/>
      </w:pPr>
    </w:p>
    <w:p w:rsidR="00596B84" w:rsidRDefault="00596B84" w:rsidP="00D00967">
      <w:pPr>
        <w:numPr>
          <w:ilvl w:val="0"/>
          <w:numId w:val="1"/>
        </w:numPr>
        <w:spacing w:after="0" w:line="240" w:lineRule="auto"/>
        <w:jc w:val="both"/>
      </w:pPr>
      <w:r w:rsidRPr="00D00967">
        <w:t>Un individuo cuyas curvas de indiferencia son líneas rectas se especializará en el consumo de un solo bien</w:t>
      </w:r>
    </w:p>
    <w:p w:rsidR="008F2AE6" w:rsidRPr="00D00967" w:rsidRDefault="008F2AE6" w:rsidP="008F2AE6">
      <w:pPr>
        <w:spacing w:after="0" w:line="240" w:lineRule="auto"/>
        <w:jc w:val="both"/>
      </w:pPr>
    </w:p>
    <w:p w:rsidR="00AF6460" w:rsidRPr="00600B2F" w:rsidRDefault="00AF6460" w:rsidP="00AF6460">
      <w:pPr>
        <w:numPr>
          <w:ilvl w:val="0"/>
          <w:numId w:val="1"/>
        </w:numPr>
        <w:spacing w:after="0" w:line="240" w:lineRule="auto"/>
        <w:jc w:val="both"/>
      </w:pPr>
      <w:r w:rsidRPr="00AF6460">
        <w:rPr>
          <w:rFonts w:ascii="CMR10" w:hAnsi="CMR10" w:cs="CMR10"/>
          <w:sz w:val="20"/>
          <w:szCs w:val="20"/>
        </w:rPr>
        <w:t>Debido a que los consumidores eligen la combinación de bienes que les reporta el máximo nivel de</w:t>
      </w:r>
      <w:r>
        <w:rPr>
          <w:rFonts w:ascii="CMR10" w:hAnsi="CMR10" w:cs="CMR10"/>
          <w:sz w:val="20"/>
          <w:szCs w:val="20"/>
        </w:rPr>
        <w:t xml:space="preserve"> satisfacción posible, la teorí</w:t>
      </w:r>
      <w:r w:rsidRPr="00AF6460">
        <w:rPr>
          <w:rFonts w:ascii="CMR10" w:hAnsi="CMR10" w:cs="CMR10"/>
          <w:sz w:val="20"/>
          <w:szCs w:val="20"/>
        </w:rPr>
        <w:t>a del consumidor contradice el que los recursos son escasos.</w:t>
      </w:r>
    </w:p>
    <w:p w:rsidR="005E339E" w:rsidRPr="00FB0154" w:rsidRDefault="005E339E" w:rsidP="00FB0154">
      <w:pPr>
        <w:spacing w:after="0" w:line="240" w:lineRule="auto"/>
        <w:jc w:val="both"/>
      </w:pPr>
    </w:p>
    <w:p w:rsidR="009A683E" w:rsidRPr="00BE7D96" w:rsidRDefault="009A683E" w:rsidP="00BE7D96">
      <w:pPr>
        <w:numPr>
          <w:ilvl w:val="0"/>
          <w:numId w:val="1"/>
        </w:numPr>
        <w:spacing w:after="0" w:line="240" w:lineRule="auto"/>
        <w:jc w:val="both"/>
        <w:rPr>
          <w:rFonts w:ascii="CMR10" w:hAnsi="CMR10" w:cs="CMR10"/>
          <w:sz w:val="20"/>
          <w:szCs w:val="20"/>
        </w:rPr>
      </w:pPr>
      <w:r w:rsidRPr="00BE7D96">
        <w:rPr>
          <w:rFonts w:ascii="CMR10" w:hAnsi="CMR10" w:cs="CMR10"/>
          <w:sz w:val="20"/>
          <w:szCs w:val="20"/>
        </w:rPr>
        <w:t>Explique y derive graficamente las curvas de demanda (compensada y total) para un bien inferior.</w:t>
      </w:r>
    </w:p>
    <w:p w:rsidR="009705C3" w:rsidRPr="00FB0154" w:rsidRDefault="009705C3" w:rsidP="00FB0154">
      <w:pPr>
        <w:spacing w:after="0" w:line="240" w:lineRule="auto"/>
        <w:jc w:val="both"/>
      </w:pPr>
    </w:p>
    <w:p w:rsidR="009A683E" w:rsidRDefault="009A683E">
      <w:pPr>
        <w:rPr>
          <w:rFonts w:cs="CMBX12"/>
          <w:b/>
          <w:sz w:val="30"/>
          <w:szCs w:val="30"/>
        </w:rPr>
      </w:pPr>
      <w:r>
        <w:rPr>
          <w:rFonts w:cs="CMBX12"/>
          <w:b/>
          <w:sz w:val="30"/>
          <w:szCs w:val="30"/>
        </w:rPr>
        <w:br w:type="page"/>
      </w:r>
    </w:p>
    <w:p w:rsidR="00C17DFC" w:rsidRPr="007B0099" w:rsidRDefault="005C70B4" w:rsidP="002E5920">
      <w:pPr>
        <w:jc w:val="both"/>
        <w:rPr>
          <w:rFonts w:cs="CMBX12"/>
          <w:b/>
          <w:sz w:val="30"/>
          <w:szCs w:val="30"/>
        </w:rPr>
      </w:pPr>
      <w:r>
        <w:rPr>
          <w:rFonts w:cs="CMBX12"/>
          <w:b/>
          <w:sz w:val="30"/>
          <w:szCs w:val="30"/>
        </w:rPr>
        <w:lastRenderedPageBreak/>
        <w:t>Ejercicio</w:t>
      </w:r>
    </w:p>
    <w:p w:rsidR="002E5920" w:rsidRPr="007B0099" w:rsidRDefault="00C052BD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b/>
          <w:sz w:val="20"/>
          <w:szCs w:val="20"/>
        </w:rPr>
      </w:pPr>
      <w:r w:rsidRPr="007B0099">
        <w:rPr>
          <w:rFonts w:cs="CMR10"/>
          <w:b/>
          <w:sz w:val="20"/>
          <w:szCs w:val="20"/>
        </w:rPr>
        <w:t>Nota: En esta sección se plantean problemas económicos en los que es importante desarrollar la parte matemática de la economía</w:t>
      </w:r>
    </w:p>
    <w:p w:rsidR="002E5920" w:rsidRPr="007B0099" w:rsidRDefault="002E5920" w:rsidP="002E5920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sz w:val="20"/>
          <w:szCs w:val="20"/>
        </w:rPr>
      </w:pPr>
    </w:p>
    <w:p w:rsidR="00C205F6" w:rsidRDefault="0017147E" w:rsidP="00120664">
      <w:pPr>
        <w:pStyle w:val="Prrafodelista"/>
        <w:numPr>
          <w:ilvl w:val="0"/>
          <w:numId w:val="4"/>
        </w:numPr>
        <w:jc w:val="both"/>
        <w:rPr>
          <w:sz w:val="20"/>
          <w:szCs w:val="24"/>
        </w:rPr>
      </w:pPr>
      <w:r>
        <w:rPr>
          <w:sz w:val="20"/>
          <w:szCs w:val="24"/>
        </w:rPr>
        <w:t>Un individuo consume productos X e Y, y gasta $2</w:t>
      </w:r>
      <w:r w:rsidR="009A683E">
        <w:rPr>
          <w:sz w:val="20"/>
          <w:szCs w:val="24"/>
        </w:rPr>
        <w:t>5</w:t>
      </w:r>
      <w:r>
        <w:rPr>
          <w:sz w:val="20"/>
          <w:szCs w:val="24"/>
        </w:rPr>
        <w:t xml:space="preserve"> por periodo. Los p</w:t>
      </w:r>
      <w:r w:rsidR="009A683E">
        <w:rPr>
          <w:sz w:val="20"/>
          <w:szCs w:val="24"/>
        </w:rPr>
        <w:t>recios de los dos bienes son $3</w:t>
      </w:r>
      <w:r>
        <w:rPr>
          <w:sz w:val="20"/>
          <w:szCs w:val="24"/>
        </w:rPr>
        <w:t xml:space="preserve"> po</w:t>
      </w:r>
      <w:r w:rsidR="009A683E">
        <w:rPr>
          <w:sz w:val="20"/>
          <w:szCs w:val="24"/>
        </w:rPr>
        <w:t xml:space="preserve">r cada unidad del bien X, y $2 </w:t>
      </w:r>
      <w:r>
        <w:rPr>
          <w:sz w:val="20"/>
          <w:szCs w:val="24"/>
        </w:rPr>
        <w:t>por cada unidad del bien Y.</w:t>
      </w:r>
      <w:r w:rsidR="00C205F6">
        <w:rPr>
          <w:sz w:val="20"/>
          <w:szCs w:val="24"/>
        </w:rPr>
        <w:t xml:space="preserve"> El consumidor en este caso tiene una función de utilidad dada por:</w:t>
      </w:r>
    </w:p>
    <w:p w:rsidR="00C205F6" w:rsidRDefault="001F1C88" w:rsidP="00C205F6">
      <w:pPr>
        <w:jc w:val="both"/>
        <w:rPr>
          <w:sz w:val="20"/>
          <w:szCs w:val="24"/>
        </w:rPr>
      </w:pPr>
      <m:oMathPara>
        <m:oMath>
          <m:r>
            <w:rPr>
              <w:rFonts w:ascii="Cambria Math" w:hAnsi="Cambria Math"/>
              <w:sz w:val="20"/>
              <w:szCs w:val="24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4"/>
                </w:rPr>
                <m:t>X,Y</m:t>
              </m:r>
            </m:e>
          </m:d>
          <m:r>
            <w:rPr>
              <w:rFonts w:ascii="Cambria Math" w:hAnsi="Cambria Math"/>
              <w:sz w:val="20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0"/>
                  <w:szCs w:val="24"/>
                </w:rPr>
                <m:t>2</m:t>
              </m:r>
            </m:den>
          </m:f>
          <m:r>
            <w:rPr>
              <w:rFonts w:ascii="Cambria Math" w:hAnsi="Cambria Math"/>
              <w:sz w:val="20"/>
              <w:szCs w:val="24"/>
            </w:rPr>
            <m:t>XY</m:t>
          </m:r>
        </m:oMath>
      </m:oMathPara>
      <w:r w:rsidR="00C205F6" w:rsidRPr="00F94546">
        <w:rPr>
          <w:rFonts w:ascii="Cambria Math" w:hAnsi="Cambria Math"/>
          <w:sz w:val="20"/>
          <w:szCs w:val="24"/>
        </w:rPr>
        <w:br/>
      </w:r>
    </w:p>
    <w:p w:rsidR="00C205F6" w:rsidRDefault="00C205F6" w:rsidP="00C205F6">
      <w:pPr>
        <w:pStyle w:val="Prrafodelista"/>
        <w:numPr>
          <w:ilvl w:val="0"/>
          <w:numId w:val="7"/>
        </w:numPr>
        <w:jc w:val="both"/>
        <w:rPr>
          <w:sz w:val="20"/>
          <w:szCs w:val="24"/>
        </w:rPr>
      </w:pPr>
      <w:r>
        <w:rPr>
          <w:sz w:val="20"/>
          <w:szCs w:val="24"/>
        </w:rPr>
        <w:t>Escriba la ecuación matemática de la restricción presupuestaria.</w:t>
      </w:r>
    </w:p>
    <w:p w:rsidR="00C205F6" w:rsidRDefault="00C205F6" w:rsidP="00C205F6">
      <w:pPr>
        <w:pStyle w:val="Prrafodelista"/>
        <w:numPr>
          <w:ilvl w:val="0"/>
          <w:numId w:val="7"/>
        </w:numPr>
        <w:jc w:val="both"/>
        <w:rPr>
          <w:sz w:val="20"/>
          <w:szCs w:val="24"/>
        </w:rPr>
      </w:pPr>
      <w:r>
        <w:rPr>
          <w:sz w:val="20"/>
          <w:szCs w:val="24"/>
        </w:rPr>
        <w:t>Determine las cantidades de X e Y que maximizarán la utilidad que este individuo obtiene del consumo de estos bienes</w:t>
      </w:r>
    </w:p>
    <w:p w:rsidR="00F764F9" w:rsidRDefault="00F764F9" w:rsidP="00C205F6">
      <w:pPr>
        <w:pStyle w:val="Prrafodelista"/>
        <w:numPr>
          <w:ilvl w:val="0"/>
          <w:numId w:val="7"/>
        </w:numPr>
        <w:jc w:val="both"/>
        <w:rPr>
          <w:sz w:val="20"/>
          <w:szCs w:val="24"/>
        </w:rPr>
      </w:pPr>
      <w:r>
        <w:rPr>
          <w:sz w:val="20"/>
          <w:szCs w:val="24"/>
        </w:rPr>
        <w:t xml:space="preserve">Determine la ecuación de la demanda ordinaria (o Marshalliana) del bien X y </w:t>
      </w:r>
      <w:r w:rsidR="00B163BA">
        <w:rPr>
          <w:sz w:val="20"/>
          <w:szCs w:val="24"/>
        </w:rPr>
        <w:t xml:space="preserve">del bien Y. </w:t>
      </w:r>
      <w:r>
        <w:rPr>
          <w:sz w:val="20"/>
          <w:szCs w:val="24"/>
        </w:rPr>
        <w:t>grafíquela.</w:t>
      </w:r>
    </w:p>
    <w:p w:rsidR="00C42323" w:rsidRDefault="00C42323" w:rsidP="00C205F6">
      <w:pPr>
        <w:pStyle w:val="Prrafodelista"/>
        <w:numPr>
          <w:ilvl w:val="0"/>
          <w:numId w:val="7"/>
        </w:numPr>
        <w:jc w:val="both"/>
        <w:rPr>
          <w:sz w:val="20"/>
          <w:szCs w:val="24"/>
        </w:rPr>
      </w:pPr>
      <w:r>
        <w:rPr>
          <w:sz w:val="20"/>
          <w:szCs w:val="24"/>
        </w:rPr>
        <w:t>Determine la ecuación de la demanda compensada (o Hicksiana) del bien X y grafíquela.</w:t>
      </w:r>
    </w:p>
    <w:sectPr w:rsidR="00C42323" w:rsidSect="002E5920">
      <w:headerReference w:type="default" r:id="rId8"/>
      <w:headerReference w:type="first" r:id="rId9"/>
      <w:pgSz w:w="11906" w:h="16838"/>
      <w:pgMar w:top="549" w:right="1701" w:bottom="1417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852" w:rsidRDefault="00561852" w:rsidP="00873C0A">
      <w:pPr>
        <w:spacing w:after="0" w:line="240" w:lineRule="auto"/>
      </w:pPr>
      <w:r>
        <w:separator/>
      </w:r>
    </w:p>
  </w:endnote>
  <w:endnote w:type="continuationSeparator" w:id="0">
    <w:p w:rsidR="00561852" w:rsidRDefault="00561852" w:rsidP="0087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MBX12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852" w:rsidRDefault="00561852" w:rsidP="00873C0A">
      <w:pPr>
        <w:spacing w:after="0" w:line="240" w:lineRule="auto"/>
      </w:pPr>
      <w:r>
        <w:separator/>
      </w:r>
    </w:p>
  </w:footnote>
  <w:footnote w:type="continuationSeparator" w:id="0">
    <w:p w:rsidR="00561852" w:rsidRDefault="00561852" w:rsidP="00873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920" w:rsidRPr="00F57010" w:rsidRDefault="00C052BD" w:rsidP="002E5920">
    <w:pPr>
      <w:tabs>
        <w:tab w:val="left" w:pos="2580"/>
        <w:tab w:val="left" w:pos="2985"/>
        <w:tab w:val="left" w:pos="3661"/>
      </w:tabs>
      <w:spacing w:after="120"/>
      <w:rPr>
        <w:b/>
        <w:bCs/>
        <w:color w:val="000000"/>
        <w:sz w:val="16"/>
        <w:szCs w:val="16"/>
      </w:rPr>
    </w:pPr>
    <w:r>
      <w:rPr>
        <w:b/>
        <w:bCs/>
        <w:color w:val="000000"/>
        <w:sz w:val="16"/>
        <w:szCs w:val="16"/>
      </w:rPr>
      <w:tab/>
    </w:r>
    <w:r>
      <w:rPr>
        <w:b/>
        <w:bCs/>
        <w:color w:val="000000"/>
        <w:sz w:val="16"/>
        <w:szCs w:val="16"/>
      </w:rPr>
      <w:tab/>
    </w:r>
    <w:r>
      <w:rPr>
        <w:b/>
        <w:bCs/>
        <w:color w:val="000000"/>
        <w:sz w:val="16"/>
        <w:szCs w:val="16"/>
      </w:rPr>
      <w:tab/>
    </w:r>
    <w:r>
      <w:rPr>
        <w:b/>
        <w:bCs/>
        <w:color w:val="000000"/>
        <w:sz w:val="16"/>
        <w:szCs w:val="16"/>
      </w:rPr>
      <w:tab/>
      <w:t>Universidad de Chile | Programa Académico de Bachillerato | Economía</w:t>
    </w:r>
  </w:p>
  <w:p w:rsidR="002E5920" w:rsidRPr="00F57010" w:rsidRDefault="00C052BD">
    <w:pPr>
      <w:tabs>
        <w:tab w:val="left" w:pos="2580"/>
        <w:tab w:val="left" w:pos="2985"/>
      </w:tabs>
      <w:spacing w:after="120"/>
      <w:jc w:val="right"/>
      <w:rPr>
        <w:color w:val="DDDDDD"/>
        <w:sz w:val="16"/>
        <w:szCs w:val="16"/>
      </w:rPr>
    </w:pPr>
    <w:r>
      <w:rPr>
        <w:color w:val="DDDDDD"/>
        <w:sz w:val="16"/>
        <w:szCs w:val="16"/>
      </w:rPr>
      <w:t>Ayudantía 2: Función de Posibilidades de Producción</w:t>
    </w:r>
  </w:p>
  <w:p w:rsidR="002E5920" w:rsidRPr="003F56AA" w:rsidRDefault="002E5920" w:rsidP="002E5920">
    <w:pPr>
      <w:pBdr>
        <w:bottom w:val="single" w:sz="4" w:space="0" w:color="A5A5A5"/>
      </w:pBdr>
      <w:tabs>
        <w:tab w:val="left" w:pos="2580"/>
        <w:tab w:val="left" w:pos="2985"/>
      </w:tabs>
      <w:spacing w:after="120"/>
      <w:jc w:val="right"/>
      <w:rPr>
        <w:color w:val="80808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920" w:rsidRPr="00E314E0" w:rsidRDefault="00C052BD" w:rsidP="002E5920">
    <w:pPr>
      <w:tabs>
        <w:tab w:val="left" w:pos="2580"/>
        <w:tab w:val="left" w:pos="2985"/>
      </w:tabs>
      <w:spacing w:after="120"/>
      <w:rPr>
        <w:b/>
        <w:bCs/>
        <w:color w:val="000000"/>
        <w:sz w:val="18"/>
        <w:szCs w:val="18"/>
      </w:rPr>
    </w:pPr>
    <w:r>
      <w:rPr>
        <w:b/>
        <w:bCs/>
        <w:color w:val="000000"/>
        <w:sz w:val="18"/>
        <w:szCs w:val="18"/>
      </w:rPr>
      <w:tab/>
    </w:r>
    <w:r>
      <w:rPr>
        <w:b/>
        <w:bCs/>
        <w:color w:val="000000"/>
        <w:sz w:val="18"/>
        <w:szCs w:val="18"/>
      </w:rPr>
      <w:tab/>
    </w:r>
    <w:r>
      <w:rPr>
        <w:b/>
        <w:bCs/>
        <w:color w:val="000000"/>
        <w:sz w:val="18"/>
        <w:szCs w:val="18"/>
      </w:rPr>
      <w:tab/>
    </w:r>
    <w:r>
      <w:rPr>
        <w:b/>
        <w:bCs/>
        <w:color w:val="000000"/>
        <w:sz w:val="18"/>
        <w:szCs w:val="18"/>
      </w:rPr>
      <w:tab/>
      <w:t>Universidad de Chile | Programa Académico de Bachillerato | Economía</w:t>
    </w:r>
  </w:p>
  <w:p w:rsidR="002E5920" w:rsidRPr="00E314E0" w:rsidRDefault="00C052BD" w:rsidP="002E5920">
    <w:pPr>
      <w:tabs>
        <w:tab w:val="left" w:pos="2580"/>
        <w:tab w:val="left" w:pos="2985"/>
      </w:tabs>
      <w:spacing w:after="120"/>
      <w:rPr>
        <w:color w:val="DDDDDD"/>
        <w:sz w:val="18"/>
        <w:szCs w:val="18"/>
      </w:rPr>
    </w:pPr>
    <w:r>
      <w:rPr>
        <w:color w:val="000000"/>
        <w:sz w:val="32"/>
        <w:szCs w:val="32"/>
      </w:rPr>
      <w:t xml:space="preserve">Ayudantía </w:t>
    </w:r>
    <w:r w:rsidR="00493DEA">
      <w:rPr>
        <w:color w:val="000000"/>
        <w:sz w:val="32"/>
        <w:szCs w:val="32"/>
      </w:rPr>
      <w:t>6</w:t>
    </w:r>
    <w:r>
      <w:rPr>
        <w:color w:val="000000"/>
        <w:sz w:val="32"/>
        <w:szCs w:val="32"/>
      </w:rPr>
      <w:t xml:space="preserve">: </w:t>
    </w:r>
    <w:r w:rsidR="002F264E">
      <w:rPr>
        <w:color w:val="000000"/>
        <w:sz w:val="32"/>
        <w:szCs w:val="32"/>
      </w:rPr>
      <w:t>Teoría del consumidor</w:t>
    </w:r>
  </w:p>
  <w:p w:rsidR="002E5920" w:rsidRPr="00E314E0" w:rsidRDefault="00C052BD" w:rsidP="002E5920">
    <w:pPr>
      <w:pBdr>
        <w:bottom w:val="single" w:sz="4" w:space="1" w:color="A5A5A5"/>
      </w:pBdr>
      <w:tabs>
        <w:tab w:val="left" w:pos="2580"/>
        <w:tab w:val="left" w:pos="2985"/>
      </w:tabs>
      <w:spacing w:after="120"/>
      <w:rPr>
        <w:color w:val="808080"/>
        <w:sz w:val="18"/>
        <w:szCs w:val="18"/>
      </w:rPr>
    </w:pPr>
    <w:r>
      <w:rPr>
        <w:color w:val="808080"/>
        <w:sz w:val="18"/>
        <w:szCs w:val="18"/>
      </w:rPr>
      <w:t xml:space="preserve">Profesores: Manuel Aguilar, Natalia Bernal, Álex Chaparro, Javier Díaz, Roberto Jalón                                                  </w:t>
    </w:r>
    <w:r w:rsidRPr="00E314E0">
      <w:rPr>
        <w:color w:val="808080"/>
        <w:sz w:val="18"/>
        <w:szCs w:val="18"/>
      </w:rPr>
      <w:t xml:space="preserve">Ayudantes: Mario Flores ©, Benjamín Gómez, Camila Pastén, Carmen Quezada, Sergio Vera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5AC9"/>
    <w:multiLevelType w:val="hybridMultilevel"/>
    <w:tmpl w:val="CFE89C7A"/>
    <w:lvl w:ilvl="0" w:tplc="F81AB6F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2B14EF"/>
    <w:multiLevelType w:val="hybridMultilevel"/>
    <w:tmpl w:val="6DDABA68"/>
    <w:lvl w:ilvl="0" w:tplc="94A2913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C36FF"/>
    <w:multiLevelType w:val="multilevel"/>
    <w:tmpl w:val="28546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3A25541"/>
    <w:multiLevelType w:val="hybridMultilevel"/>
    <w:tmpl w:val="DC32E9D0"/>
    <w:lvl w:ilvl="0" w:tplc="CB6A51A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D302AF"/>
    <w:multiLevelType w:val="hybridMultilevel"/>
    <w:tmpl w:val="9536A69E"/>
    <w:lvl w:ilvl="0" w:tplc="94A2913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17BC8"/>
    <w:multiLevelType w:val="hybridMultilevel"/>
    <w:tmpl w:val="F6A480F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BA5409"/>
    <w:multiLevelType w:val="hybridMultilevel"/>
    <w:tmpl w:val="F776FEA4"/>
    <w:lvl w:ilvl="0" w:tplc="C4301668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496" w:hanging="360"/>
      </w:pPr>
    </w:lvl>
    <w:lvl w:ilvl="2" w:tplc="340A001B" w:tentative="1">
      <w:start w:val="1"/>
      <w:numFmt w:val="lowerRoman"/>
      <w:lvlText w:val="%3."/>
      <w:lvlJc w:val="right"/>
      <w:pPr>
        <w:ind w:left="3216" w:hanging="180"/>
      </w:pPr>
    </w:lvl>
    <w:lvl w:ilvl="3" w:tplc="340A000F" w:tentative="1">
      <w:start w:val="1"/>
      <w:numFmt w:val="decimal"/>
      <w:lvlText w:val="%4."/>
      <w:lvlJc w:val="left"/>
      <w:pPr>
        <w:ind w:left="3936" w:hanging="360"/>
      </w:pPr>
    </w:lvl>
    <w:lvl w:ilvl="4" w:tplc="340A0019" w:tentative="1">
      <w:start w:val="1"/>
      <w:numFmt w:val="lowerLetter"/>
      <w:lvlText w:val="%5."/>
      <w:lvlJc w:val="left"/>
      <w:pPr>
        <w:ind w:left="4656" w:hanging="360"/>
      </w:pPr>
    </w:lvl>
    <w:lvl w:ilvl="5" w:tplc="340A001B" w:tentative="1">
      <w:start w:val="1"/>
      <w:numFmt w:val="lowerRoman"/>
      <w:lvlText w:val="%6."/>
      <w:lvlJc w:val="right"/>
      <w:pPr>
        <w:ind w:left="5376" w:hanging="180"/>
      </w:pPr>
    </w:lvl>
    <w:lvl w:ilvl="6" w:tplc="340A000F" w:tentative="1">
      <w:start w:val="1"/>
      <w:numFmt w:val="decimal"/>
      <w:lvlText w:val="%7."/>
      <w:lvlJc w:val="left"/>
      <w:pPr>
        <w:ind w:left="6096" w:hanging="360"/>
      </w:pPr>
    </w:lvl>
    <w:lvl w:ilvl="7" w:tplc="340A0019" w:tentative="1">
      <w:start w:val="1"/>
      <w:numFmt w:val="lowerLetter"/>
      <w:lvlText w:val="%8."/>
      <w:lvlJc w:val="left"/>
      <w:pPr>
        <w:ind w:left="6816" w:hanging="360"/>
      </w:pPr>
    </w:lvl>
    <w:lvl w:ilvl="8" w:tplc="340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C0A"/>
    <w:rsid w:val="00002A33"/>
    <w:rsid w:val="000315B1"/>
    <w:rsid w:val="00053793"/>
    <w:rsid w:val="00074A12"/>
    <w:rsid w:val="000E773F"/>
    <w:rsid w:val="00120664"/>
    <w:rsid w:val="001329DC"/>
    <w:rsid w:val="00136A71"/>
    <w:rsid w:val="00167094"/>
    <w:rsid w:val="0017147E"/>
    <w:rsid w:val="00192822"/>
    <w:rsid w:val="001C541F"/>
    <w:rsid w:val="001F1C88"/>
    <w:rsid w:val="00213013"/>
    <w:rsid w:val="00225D74"/>
    <w:rsid w:val="00244833"/>
    <w:rsid w:val="0026394F"/>
    <w:rsid w:val="002B0195"/>
    <w:rsid w:val="002C5F29"/>
    <w:rsid w:val="002E5920"/>
    <w:rsid w:val="002F264E"/>
    <w:rsid w:val="00312A8D"/>
    <w:rsid w:val="00320009"/>
    <w:rsid w:val="00324F4D"/>
    <w:rsid w:val="00334A7D"/>
    <w:rsid w:val="00384C68"/>
    <w:rsid w:val="003968C9"/>
    <w:rsid w:val="00396F1B"/>
    <w:rsid w:val="003A6679"/>
    <w:rsid w:val="003C3C58"/>
    <w:rsid w:val="00400875"/>
    <w:rsid w:val="00425E1D"/>
    <w:rsid w:val="00427F7D"/>
    <w:rsid w:val="00493DEA"/>
    <w:rsid w:val="004B5E6D"/>
    <w:rsid w:val="004C261E"/>
    <w:rsid w:val="004D142C"/>
    <w:rsid w:val="00561852"/>
    <w:rsid w:val="00591CBF"/>
    <w:rsid w:val="00596B84"/>
    <w:rsid w:val="0059793A"/>
    <w:rsid w:val="005C0D81"/>
    <w:rsid w:val="005C2B4C"/>
    <w:rsid w:val="005C70B4"/>
    <w:rsid w:val="005D0145"/>
    <w:rsid w:val="005E0F41"/>
    <w:rsid w:val="005E1F7A"/>
    <w:rsid w:val="005E339E"/>
    <w:rsid w:val="00600B2F"/>
    <w:rsid w:val="0064593A"/>
    <w:rsid w:val="00690BF4"/>
    <w:rsid w:val="006A7688"/>
    <w:rsid w:val="006B2F9D"/>
    <w:rsid w:val="006C0538"/>
    <w:rsid w:val="006C32FB"/>
    <w:rsid w:val="006F42FC"/>
    <w:rsid w:val="00726B2B"/>
    <w:rsid w:val="00766C44"/>
    <w:rsid w:val="00776E20"/>
    <w:rsid w:val="007E37DC"/>
    <w:rsid w:val="0080785D"/>
    <w:rsid w:val="00857A57"/>
    <w:rsid w:val="00865880"/>
    <w:rsid w:val="00873C0A"/>
    <w:rsid w:val="008808F3"/>
    <w:rsid w:val="008B3AB3"/>
    <w:rsid w:val="008F2AE6"/>
    <w:rsid w:val="0096059E"/>
    <w:rsid w:val="009705C3"/>
    <w:rsid w:val="00972BAF"/>
    <w:rsid w:val="00987197"/>
    <w:rsid w:val="00990884"/>
    <w:rsid w:val="009A683E"/>
    <w:rsid w:val="009C75A5"/>
    <w:rsid w:val="009F470C"/>
    <w:rsid w:val="00A62AFE"/>
    <w:rsid w:val="00A74A12"/>
    <w:rsid w:val="00AE7458"/>
    <w:rsid w:val="00AF5C27"/>
    <w:rsid w:val="00AF6460"/>
    <w:rsid w:val="00B0389F"/>
    <w:rsid w:val="00B03C2F"/>
    <w:rsid w:val="00B163BA"/>
    <w:rsid w:val="00B841A2"/>
    <w:rsid w:val="00BA427E"/>
    <w:rsid w:val="00BE0D50"/>
    <w:rsid w:val="00BE7D96"/>
    <w:rsid w:val="00C052BD"/>
    <w:rsid w:val="00C17DFC"/>
    <w:rsid w:val="00C205F6"/>
    <w:rsid w:val="00C26400"/>
    <w:rsid w:val="00C2674B"/>
    <w:rsid w:val="00C42323"/>
    <w:rsid w:val="00C4514F"/>
    <w:rsid w:val="00CD0DAD"/>
    <w:rsid w:val="00CE4554"/>
    <w:rsid w:val="00D00967"/>
    <w:rsid w:val="00D25EB6"/>
    <w:rsid w:val="00D3584A"/>
    <w:rsid w:val="00D56C70"/>
    <w:rsid w:val="00D80B36"/>
    <w:rsid w:val="00DC213E"/>
    <w:rsid w:val="00E640A7"/>
    <w:rsid w:val="00F329C7"/>
    <w:rsid w:val="00F764F9"/>
    <w:rsid w:val="00F94546"/>
    <w:rsid w:val="00FB0154"/>
    <w:rsid w:val="00FB3EFB"/>
    <w:rsid w:val="00FB7646"/>
    <w:rsid w:val="00FC1521"/>
    <w:rsid w:val="00FC3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BAF"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84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41A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B841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841A2"/>
  </w:style>
  <w:style w:type="paragraph" w:styleId="Piedepgina">
    <w:name w:val="footer"/>
    <w:basedOn w:val="Normal"/>
    <w:link w:val="PiedepginaCar"/>
    <w:uiPriority w:val="99"/>
    <w:semiHidden/>
    <w:unhideWhenUsed/>
    <w:rsid w:val="00B841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841A2"/>
  </w:style>
  <w:style w:type="paragraph" w:styleId="Prrafodelista">
    <w:name w:val="List Paragraph"/>
    <w:basedOn w:val="Normal"/>
    <w:uiPriority w:val="34"/>
    <w:qFormat/>
    <w:rsid w:val="00120664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6A768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A768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A7688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9C75A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A9DBA-DBE6-4117-AE03-35B36D198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minsi</dc:creator>
  <cp:lastModifiedBy>Sergio</cp:lastModifiedBy>
  <cp:revision>3</cp:revision>
  <dcterms:created xsi:type="dcterms:W3CDTF">2009-09-19T15:26:00Z</dcterms:created>
  <dcterms:modified xsi:type="dcterms:W3CDTF">2009-09-19T15:29:00Z</dcterms:modified>
</cp:coreProperties>
</file>